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D" w:rsidRDefault="001A06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06CD" w:rsidRDefault="001A06CD">
      <w:pPr>
        <w:pStyle w:val="ConsPlusNormal"/>
        <w:jc w:val="center"/>
        <w:outlineLvl w:val="0"/>
      </w:pPr>
    </w:p>
    <w:p w:rsidR="001A06CD" w:rsidRDefault="001A06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06CD" w:rsidRDefault="001A06CD">
      <w:pPr>
        <w:pStyle w:val="ConsPlusTitle"/>
        <w:jc w:val="center"/>
      </w:pPr>
    </w:p>
    <w:p w:rsidR="001A06CD" w:rsidRDefault="001A06CD">
      <w:pPr>
        <w:pStyle w:val="ConsPlusTitle"/>
        <w:jc w:val="center"/>
      </w:pPr>
      <w:r>
        <w:t>ПОСТАНОВЛЕНИЕ</w:t>
      </w:r>
    </w:p>
    <w:p w:rsidR="001A06CD" w:rsidRDefault="001A06CD">
      <w:pPr>
        <w:pStyle w:val="ConsPlusTitle"/>
        <w:jc w:val="center"/>
      </w:pPr>
      <w:r>
        <w:t>от 5 августа 2013 г. N 662</w:t>
      </w:r>
    </w:p>
    <w:p w:rsidR="001A06CD" w:rsidRDefault="001A06CD">
      <w:pPr>
        <w:pStyle w:val="ConsPlusTitle"/>
        <w:jc w:val="center"/>
      </w:pPr>
    </w:p>
    <w:p w:rsidR="001A06CD" w:rsidRDefault="001A06CD">
      <w:pPr>
        <w:pStyle w:val="ConsPlusTitle"/>
        <w:jc w:val="center"/>
      </w:pPr>
      <w:r>
        <w:t>ОБ ОСУЩЕСТВЛЕНИИ МОНИТОРИНГА СИСТЕМЫ ОБРАЗОВАНИЯ</w:t>
      </w:r>
    </w:p>
    <w:p w:rsidR="001A06CD" w:rsidRDefault="001A0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6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6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7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8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</w:tr>
    </w:tbl>
    <w:p w:rsidR="001A06CD" w:rsidRDefault="001A06CD">
      <w:pPr>
        <w:pStyle w:val="ConsPlusNormal"/>
        <w:jc w:val="center"/>
      </w:pPr>
    </w:p>
    <w:p w:rsidR="001A06CD" w:rsidRDefault="001A06CD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A06CD" w:rsidRDefault="001A06CD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осуществления мониторинга системы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2013 г. и действует до 1 сентября 2028 г.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jc w:val="right"/>
      </w:pPr>
      <w:r>
        <w:t>Председатель Правительства</w:t>
      </w:r>
    </w:p>
    <w:p w:rsidR="001A06CD" w:rsidRDefault="001A06CD">
      <w:pPr>
        <w:pStyle w:val="ConsPlusNormal"/>
        <w:jc w:val="right"/>
      </w:pPr>
      <w:r>
        <w:t>Российской Федерации</w:t>
      </w:r>
    </w:p>
    <w:p w:rsidR="001A06CD" w:rsidRDefault="001A06CD">
      <w:pPr>
        <w:pStyle w:val="ConsPlusNormal"/>
        <w:jc w:val="right"/>
      </w:pPr>
      <w:r>
        <w:t>Д.МЕДВЕДЕВ</w:t>
      </w:r>
    </w:p>
    <w:p w:rsidR="001A06CD" w:rsidRDefault="001A06CD">
      <w:pPr>
        <w:pStyle w:val="ConsPlusNormal"/>
        <w:jc w:val="right"/>
      </w:pPr>
    </w:p>
    <w:p w:rsidR="001A06CD" w:rsidRDefault="001A06CD">
      <w:pPr>
        <w:pStyle w:val="ConsPlusNormal"/>
        <w:jc w:val="right"/>
      </w:pPr>
    </w:p>
    <w:p w:rsidR="001A06CD" w:rsidRDefault="001A06CD">
      <w:pPr>
        <w:pStyle w:val="ConsPlusNormal"/>
        <w:jc w:val="right"/>
      </w:pPr>
    </w:p>
    <w:p w:rsidR="001A06CD" w:rsidRDefault="001A06CD">
      <w:pPr>
        <w:pStyle w:val="ConsPlusNormal"/>
        <w:jc w:val="right"/>
      </w:pPr>
    </w:p>
    <w:p w:rsidR="001A06CD" w:rsidRDefault="001A06CD">
      <w:pPr>
        <w:pStyle w:val="ConsPlusNormal"/>
        <w:jc w:val="right"/>
      </w:pPr>
    </w:p>
    <w:p w:rsidR="001A06CD" w:rsidRDefault="001A06CD">
      <w:pPr>
        <w:pStyle w:val="ConsPlusNormal"/>
        <w:jc w:val="right"/>
        <w:outlineLvl w:val="0"/>
      </w:pPr>
      <w:r>
        <w:t>Утверждены</w:t>
      </w:r>
    </w:p>
    <w:p w:rsidR="001A06CD" w:rsidRDefault="001A06CD">
      <w:pPr>
        <w:pStyle w:val="ConsPlusNormal"/>
        <w:jc w:val="right"/>
      </w:pPr>
      <w:r>
        <w:t>постановлением Правительства</w:t>
      </w:r>
    </w:p>
    <w:p w:rsidR="001A06CD" w:rsidRDefault="001A06CD">
      <w:pPr>
        <w:pStyle w:val="ConsPlusNormal"/>
        <w:jc w:val="right"/>
      </w:pPr>
      <w:r>
        <w:t>Российской Федерации</w:t>
      </w:r>
    </w:p>
    <w:p w:rsidR="001A06CD" w:rsidRDefault="001A06CD">
      <w:pPr>
        <w:pStyle w:val="ConsPlusNormal"/>
        <w:jc w:val="right"/>
      </w:pPr>
      <w:r>
        <w:t>от 5 августа 2013 г. N 662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Title"/>
        <w:jc w:val="center"/>
      </w:pPr>
      <w:bookmarkStart w:id="0" w:name="P32"/>
      <w:bookmarkEnd w:id="0"/>
      <w:r>
        <w:t>ПРАВИЛА ОСУЩЕСТВЛЕНИЯ МОНИТОРИНГА СИСТЕМЫ ОБРАЗОВАНИЯ</w:t>
      </w:r>
    </w:p>
    <w:p w:rsidR="001A06CD" w:rsidRDefault="001A0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6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2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</w:tr>
    </w:tbl>
    <w:p w:rsidR="001A06CD" w:rsidRDefault="001A06CD">
      <w:pPr>
        <w:pStyle w:val="ConsPlusNormal"/>
        <w:jc w:val="center"/>
      </w:pPr>
    </w:p>
    <w:p w:rsidR="001A06CD" w:rsidRDefault="001A06CD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образования.</w:t>
      </w:r>
    </w:p>
    <w:p w:rsidR="001A06CD" w:rsidRDefault="001A06CD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bookmarkStart w:id="1" w:name="P44"/>
      <w:bookmarkEnd w:id="1"/>
      <w:r>
        <w:t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1A06CD" w:rsidRDefault="001A06CD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w:anchor="P101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P211">
        <w:r>
          <w:rPr>
            <w:color w:val="0000FF"/>
          </w:rPr>
          <w:t>подпунктами "б"</w:t>
        </w:r>
      </w:hyperlink>
      <w:r>
        <w:t xml:space="preserve">, </w:t>
      </w:r>
      <w:hyperlink w:anchor="P215">
        <w:r>
          <w:rPr>
            <w:color w:val="0000FF"/>
          </w:rPr>
          <w:t>"д"</w:t>
        </w:r>
      </w:hyperlink>
      <w:r>
        <w:t xml:space="preserve"> - </w:t>
      </w:r>
      <w:hyperlink w:anchor="P219">
        <w:r>
          <w:rPr>
            <w:color w:val="0000FF"/>
          </w:rPr>
          <w:t>"ж" пункта 10</w:t>
        </w:r>
      </w:hyperlink>
      <w:r>
        <w:t xml:space="preserve"> указанного перечня.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Показатели мониторинга и </w:t>
      </w:r>
      <w:hyperlink r:id="rId17">
        <w:r>
          <w:rPr>
            <w:color w:val="0000FF"/>
          </w:rPr>
          <w:t>методика</w:t>
        </w:r>
      </w:hyperlink>
      <w:r>
        <w:t xml:space="preserve"> их расчета в части информации, предусмотренной </w:t>
      </w:r>
      <w:hyperlink w:anchor="P211">
        <w:r>
          <w:rPr>
            <w:color w:val="0000FF"/>
          </w:rPr>
          <w:t>подпунктами "б"</w:t>
        </w:r>
      </w:hyperlink>
      <w:r>
        <w:t xml:space="preserve">, </w:t>
      </w:r>
      <w:hyperlink w:anchor="P215">
        <w:r>
          <w:rPr>
            <w:color w:val="0000FF"/>
          </w:rPr>
          <w:t>"д"</w:t>
        </w:r>
      </w:hyperlink>
      <w:r>
        <w:t xml:space="preserve"> - </w:t>
      </w:r>
      <w:hyperlink w:anchor="P219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>
        <w:r>
          <w:rPr>
            <w:color w:val="0000FF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lastRenderedPageBreak/>
        <w:t xml:space="preserve">5. Сбор, обработку и анализ информации в отношении составляющих системы образования, предусмотренных </w:t>
      </w:r>
      <w:hyperlink r:id="rId20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1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Сбор и обработку при проведении мониторинга информации, предусмотренной </w:t>
      </w:r>
      <w:hyperlink w:anchor="P21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>
        <w:r>
          <w:rPr>
            <w:color w:val="0000FF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</w:t>
      </w:r>
      <w:r>
        <w:lastRenderedPageBreak/>
        <w:t xml:space="preserve">образовательной деятельности и указанных в </w:t>
      </w:r>
      <w:hyperlink r:id="rId23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p w:rsidR="001A06CD" w:rsidRDefault="001A06CD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1A06CD" w:rsidRDefault="001A06CD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6">
        <w:r>
          <w:rPr>
            <w:color w:val="0000FF"/>
          </w:rPr>
          <w:t>пункте 4 части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 w:rsidR="001A06CD" w:rsidRDefault="001A06CD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1A06CD" w:rsidRDefault="001A06CD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jc w:val="both"/>
      </w:pPr>
      <w:r>
        <w:t xml:space="preserve">(п. 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P10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P21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1A06CD" w:rsidRDefault="001A06CD">
      <w:pPr>
        <w:pStyle w:val="ConsPlusNormal"/>
        <w:jc w:val="both"/>
      </w:pPr>
      <w:r>
        <w:lastRenderedPageBreak/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информации, предусмотренной </w:t>
      </w:r>
      <w:hyperlink w:anchor="P215">
        <w:r>
          <w:rPr>
            <w:color w:val="0000FF"/>
          </w:rPr>
          <w:t>подпунктами "д"</w:t>
        </w:r>
      </w:hyperlink>
      <w:r>
        <w:t xml:space="preserve"> - </w:t>
      </w:r>
      <w:hyperlink w:anchor="P219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</w:t>
      </w:r>
      <w:hyperlink r:id="rId33">
        <w:r>
          <w:rPr>
            <w:color w:val="0000FF"/>
          </w:rPr>
          <w:t>процедурами, сроками</w:t>
        </w:r>
      </w:hyperlink>
      <w:r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1A06CD" w:rsidRDefault="001A06CD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P21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>
        <w:r>
          <w:rPr>
            <w:color w:val="0000FF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Итоговые отчеты о результатах мониторинга, в том числе аккредитационного мониторинга, федеральных государственных организаций размещению в сети "Интернет" не подлежат.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8(1). Результаты проведенного анализа информации, предусмотренной </w:t>
      </w:r>
      <w:hyperlink w:anchor="P215">
        <w:r>
          <w:rPr>
            <w:color w:val="0000FF"/>
          </w:rPr>
          <w:t>подпунктами "д"</w:t>
        </w:r>
      </w:hyperlink>
      <w:r>
        <w:t xml:space="preserve"> - </w:t>
      </w:r>
      <w:hyperlink w:anchor="P219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>
        <w:r>
          <w:rPr>
            <w:color w:val="0000FF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</w:t>
      </w:r>
      <w:hyperlink r:id="rId37">
        <w:r>
          <w:rPr>
            <w:color w:val="0000FF"/>
          </w:rPr>
          <w:t>форме</w:t>
        </w:r>
      </w:hyperlink>
      <w:r>
        <w:t xml:space="preserve"> и в соответствии со </w:t>
      </w:r>
      <w:hyperlink r:id="rId38">
        <w:r>
          <w:rPr>
            <w:color w:val="0000FF"/>
          </w:rPr>
          <w:t>сроками</w:t>
        </w:r>
      </w:hyperlink>
      <w:r>
        <w:t>, установленными указанными органами совместно.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Результаты аккредитационного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 xml:space="preserve"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</w:t>
      </w:r>
      <w:r>
        <w:lastRenderedPageBreak/>
        <w:t>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1A06CD" w:rsidRDefault="001A06CD">
      <w:pPr>
        <w:pStyle w:val="ConsPlusNormal"/>
        <w:jc w:val="both"/>
      </w:pPr>
      <w:r>
        <w:t xml:space="preserve">(п. 8(1)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</w:p>
    <w:p w:rsidR="001A06CD" w:rsidRDefault="001A06C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1A06CD" w:rsidRDefault="001A06CD">
      <w:pPr>
        <w:pStyle w:val="ConsPlusNormal"/>
        <w:jc w:val="both"/>
      </w:pPr>
      <w:r>
        <w:t xml:space="preserve">(п. 10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jc w:val="right"/>
        <w:outlineLvl w:val="0"/>
      </w:pPr>
      <w:r>
        <w:t>Утвержден</w:t>
      </w:r>
    </w:p>
    <w:p w:rsidR="001A06CD" w:rsidRDefault="001A06CD">
      <w:pPr>
        <w:pStyle w:val="ConsPlusNormal"/>
        <w:jc w:val="right"/>
      </w:pPr>
      <w:r>
        <w:t>постановлением Правительства</w:t>
      </w:r>
    </w:p>
    <w:p w:rsidR="001A06CD" w:rsidRDefault="001A06CD">
      <w:pPr>
        <w:pStyle w:val="ConsPlusNormal"/>
        <w:jc w:val="right"/>
      </w:pPr>
      <w:r>
        <w:t>Российской Федерации</w:t>
      </w:r>
    </w:p>
    <w:p w:rsidR="001A06CD" w:rsidRDefault="001A06CD">
      <w:pPr>
        <w:pStyle w:val="ConsPlusNormal"/>
        <w:jc w:val="right"/>
      </w:pPr>
      <w:r>
        <w:t>от 5 августа 2013 г. N 662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Title"/>
        <w:jc w:val="center"/>
      </w:pPr>
      <w:bookmarkStart w:id="3" w:name="P101"/>
      <w:bookmarkEnd w:id="3"/>
      <w:r>
        <w:t>ПЕРЕЧЕНЬ</w:t>
      </w:r>
    </w:p>
    <w:p w:rsidR="001A06CD" w:rsidRDefault="001A06CD">
      <w:pPr>
        <w:pStyle w:val="ConsPlusTitle"/>
        <w:jc w:val="center"/>
      </w:pPr>
      <w:r>
        <w:t>ОБЯЗАТЕЛЬНОЙ ИНФОРМАЦИИ О СИСТЕМЕ ОБРАЗОВАНИЯ,</w:t>
      </w:r>
    </w:p>
    <w:p w:rsidR="001A06CD" w:rsidRDefault="001A06CD">
      <w:pPr>
        <w:pStyle w:val="ConsPlusTitle"/>
        <w:jc w:val="center"/>
      </w:pPr>
      <w:r>
        <w:t>ПОДЛЕЖАЩЕЙ МОНИТОРИНГУ</w:t>
      </w:r>
    </w:p>
    <w:p w:rsidR="001A06CD" w:rsidRDefault="001A0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6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2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1A06CD" w:rsidRDefault="001A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43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44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45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CD" w:rsidRDefault="001A06CD">
            <w:pPr>
              <w:pStyle w:val="ConsPlusNormal"/>
            </w:pPr>
          </w:p>
        </w:tc>
      </w:tr>
    </w:tbl>
    <w:p w:rsidR="001A06CD" w:rsidRDefault="001A06CD">
      <w:pPr>
        <w:pStyle w:val="ConsPlusNormal"/>
        <w:jc w:val="center"/>
      </w:pPr>
    </w:p>
    <w:p w:rsidR="001A06CD" w:rsidRDefault="001A06CD">
      <w:pPr>
        <w:pStyle w:val="ConsPlusTitle"/>
        <w:jc w:val="center"/>
        <w:outlineLvl w:val="1"/>
      </w:pPr>
      <w:r>
        <w:t>I. Общее образование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Normal"/>
        <w:ind w:firstLine="540"/>
        <w:jc w:val="both"/>
      </w:pPr>
      <w:r>
        <w:t>1. Сведения о развитии дошкольного образования: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lastRenderedPageBreak/>
        <w:t>а) уровень доступности дошкольного образования и численность населения, получающего дошкольное образование;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з) финансово-экономическая деятельность дошкольных образовательных организаций;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lastRenderedPageBreak/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организациях.</w:t>
      </w: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Title"/>
        <w:jc w:val="center"/>
        <w:outlineLvl w:val="1"/>
      </w:pPr>
      <w:r>
        <w:t>II. Профессиональное образование</w:t>
      </w: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  <w:r>
        <w:t>3. Сведения о развитии среднего профессионального образования: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4. Сведения о развитии высшего образования: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lastRenderedPageBreak/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Title"/>
        <w:jc w:val="center"/>
        <w:outlineLvl w:val="1"/>
      </w:pPr>
      <w:r>
        <w:t>III. Дополнительное образование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Normal"/>
        <w:ind w:firstLine="540"/>
        <w:jc w:val="both"/>
      </w:pPr>
      <w:r>
        <w:t>5. Сведения о развитии дополнительного образования детей и взрослых: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численность населения, обучающегося по дополнительным общеобразовательным программам;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lastRenderedPageBreak/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образовательные технологии, используемые при реализации дополнительных профессиональных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профессионально-общественная аккредитация дополнительных профессиональных программ;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1A06CD" w:rsidRDefault="001A06CD">
      <w:pPr>
        <w:pStyle w:val="ConsPlusNormal"/>
        <w:jc w:val="both"/>
      </w:pPr>
      <w:r>
        <w:t xml:space="preserve">(п. 6(1)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12.03.2020 N 264)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Title"/>
        <w:jc w:val="center"/>
        <w:outlineLvl w:val="1"/>
      </w:pPr>
      <w:r>
        <w:lastRenderedPageBreak/>
        <w:t>IV. Профессиональное обучение</w:t>
      </w: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  <w:r>
        <w:t>7. Сведения о развитии профессионального обучения: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Title"/>
        <w:jc w:val="center"/>
        <w:outlineLvl w:val="1"/>
      </w:pPr>
      <w:r>
        <w:t>V. Дополнительная информация о системе образования</w:t>
      </w:r>
    </w:p>
    <w:p w:rsidR="001A06CD" w:rsidRDefault="001A06CD">
      <w:pPr>
        <w:pStyle w:val="ConsPlusNormal"/>
        <w:jc w:val="center"/>
      </w:pPr>
    </w:p>
    <w:p w:rsidR="001A06CD" w:rsidRDefault="001A06CD">
      <w:pPr>
        <w:pStyle w:val="ConsPlusNormal"/>
        <w:ind w:firstLine="540"/>
        <w:jc w:val="both"/>
      </w:pPr>
      <w:r>
        <w:t>8. Сведения об интеграции образования и науки, а также образования и сферы труда: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интеграция образования и науки;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9. Сведения об интеграции российского образования с мировым образовательным пространством: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численность иностранных обучающихся по основным и дополнительным образовательным программам;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численность иностранных педагогических и научных работников;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информация об иностранных и 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1A06CD" w:rsidRDefault="001A06CD">
      <w:pPr>
        <w:pStyle w:val="ConsPlusNormal"/>
        <w:jc w:val="both"/>
      </w:pPr>
      <w:r>
        <w:t xml:space="preserve">(п. 9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21.03.2019 N 292)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оценка деятельности системы образования гражданами;</w:t>
      </w:r>
    </w:p>
    <w:p w:rsidR="001A06CD" w:rsidRDefault="001A06CD">
      <w:pPr>
        <w:pStyle w:val="ConsPlusNormal"/>
        <w:spacing w:before="220"/>
        <w:ind w:firstLine="540"/>
        <w:jc w:val="both"/>
      </w:pPr>
      <w:bookmarkStart w:id="4" w:name="P211"/>
      <w:bookmarkEnd w:id="4"/>
      <w:r>
        <w:lastRenderedPageBreak/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1A06CD" w:rsidRDefault="001A06CD">
      <w:pPr>
        <w:pStyle w:val="ConsPlusNormal"/>
        <w:jc w:val="both"/>
      </w:pPr>
      <w:r>
        <w:t xml:space="preserve">(пп. "б"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развитие региональных систем оценки качества образования;</w:t>
      </w:r>
    </w:p>
    <w:p w:rsidR="001A06CD" w:rsidRDefault="001A06CD">
      <w:pPr>
        <w:pStyle w:val="ConsPlusNormal"/>
        <w:spacing w:before="220"/>
        <w:ind w:firstLine="540"/>
        <w:jc w:val="both"/>
      </w:pPr>
      <w:bookmarkStart w:id="5" w:name="P215"/>
      <w:bookmarkEnd w:id="5"/>
      <w:r>
        <w:t>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1A06CD" w:rsidRDefault="001A06CD">
      <w:pPr>
        <w:pStyle w:val="ConsPlusNormal"/>
        <w:jc w:val="both"/>
      </w:pPr>
      <w:r>
        <w:t xml:space="preserve">(пп. "д"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1A06CD" w:rsidRDefault="001A06CD">
      <w:pPr>
        <w:pStyle w:val="ConsPlusNormal"/>
        <w:jc w:val="both"/>
      </w:pPr>
      <w:r>
        <w:t xml:space="preserve">(пп. "е"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bookmarkStart w:id="6" w:name="P219"/>
      <w:bookmarkEnd w:id="6"/>
      <w:r>
        <w:t>ж) выполнение аккредитационных показателей по основным образовательным программам высшего образования.</w:t>
      </w:r>
    </w:p>
    <w:p w:rsidR="001A06CD" w:rsidRDefault="001A06CD">
      <w:pPr>
        <w:pStyle w:val="ConsPlusNormal"/>
        <w:jc w:val="both"/>
      </w:pPr>
      <w:r>
        <w:t xml:space="preserve">(пп. "ж"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в) образование и занятость молодежи;</w:t>
      </w:r>
    </w:p>
    <w:p w:rsidR="001A06CD" w:rsidRDefault="001A06CD">
      <w:pPr>
        <w:pStyle w:val="ConsPlusNormal"/>
        <w:spacing w:before="220"/>
        <w:ind w:firstLine="54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ind w:firstLine="540"/>
        <w:jc w:val="both"/>
      </w:pPr>
    </w:p>
    <w:p w:rsidR="001A06CD" w:rsidRDefault="001A06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BA8" w:rsidRDefault="00AF7BA8">
      <w:bookmarkStart w:id="7" w:name="_GoBack"/>
      <w:bookmarkEnd w:id="7"/>
    </w:p>
    <w:sectPr w:rsidR="00AF7BA8" w:rsidSect="0045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D"/>
    <w:rsid w:val="001A06CD"/>
    <w:rsid w:val="00A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1265-928D-40E6-BD0D-F183D7A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6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2663&amp;dst=100012" TargetMode="External"/><Relationship Id="rId18" Type="http://schemas.openxmlformats.org/officeDocument/2006/relationships/hyperlink" Target="https://login.consultant.ru/link/?req=doc&amp;base=LAW&amp;n=412663&amp;dst=100016" TargetMode="External"/><Relationship Id="rId26" Type="http://schemas.openxmlformats.org/officeDocument/2006/relationships/hyperlink" Target="https://login.consultant.ru/link/?req=doc&amp;base=LAW&amp;n=493233&amp;dst=574" TargetMode="External"/><Relationship Id="rId39" Type="http://schemas.openxmlformats.org/officeDocument/2006/relationships/hyperlink" Target="https://login.consultant.ru/link/?req=doc&amp;base=LAW&amp;n=412663&amp;dst=1000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3233&amp;dst=101060" TargetMode="External"/><Relationship Id="rId34" Type="http://schemas.openxmlformats.org/officeDocument/2006/relationships/hyperlink" Target="https://login.consultant.ru/link/?req=doc&amp;base=LAW&amp;n=412663&amp;dst=100025" TargetMode="External"/><Relationship Id="rId42" Type="http://schemas.openxmlformats.org/officeDocument/2006/relationships/hyperlink" Target="https://login.consultant.ru/link/?req=doc&amp;base=LAW&amp;n=399002&amp;dst=100011" TargetMode="External"/><Relationship Id="rId47" Type="http://schemas.openxmlformats.org/officeDocument/2006/relationships/hyperlink" Target="https://login.consultant.ru/link/?req=doc&amp;base=LAW&amp;n=399002&amp;dst=100011" TargetMode="External"/><Relationship Id="rId50" Type="http://schemas.openxmlformats.org/officeDocument/2006/relationships/hyperlink" Target="https://login.consultant.ru/link/?req=doc&amp;base=LAW&amp;n=412663&amp;dst=100036" TargetMode="External"/><Relationship Id="rId7" Type="http://schemas.openxmlformats.org/officeDocument/2006/relationships/hyperlink" Target="https://login.consultant.ru/link/?req=doc&amp;base=LAW&amp;n=347581&amp;dst=100005" TargetMode="External"/><Relationship Id="rId12" Type="http://schemas.openxmlformats.org/officeDocument/2006/relationships/hyperlink" Target="https://login.consultant.ru/link/?req=doc&amp;base=LAW&amp;n=412663&amp;dst=100011" TargetMode="External"/><Relationship Id="rId17" Type="http://schemas.openxmlformats.org/officeDocument/2006/relationships/hyperlink" Target="https://login.consultant.ru/link/?req=doc&amp;base=LAW&amp;n=430569&amp;dst=100087" TargetMode="External"/><Relationship Id="rId25" Type="http://schemas.openxmlformats.org/officeDocument/2006/relationships/hyperlink" Target="https://login.consultant.ru/link/?req=doc&amp;base=LAW&amp;n=412663&amp;dst=100019" TargetMode="External"/><Relationship Id="rId33" Type="http://schemas.openxmlformats.org/officeDocument/2006/relationships/hyperlink" Target="https://login.consultant.ru/link/?req=doc&amp;base=LAW&amp;n=448483&amp;dst=100019" TargetMode="External"/><Relationship Id="rId38" Type="http://schemas.openxmlformats.org/officeDocument/2006/relationships/hyperlink" Target="https://login.consultant.ru/link/?req=doc&amp;base=LAW&amp;n=448483&amp;dst=100041" TargetMode="External"/><Relationship Id="rId46" Type="http://schemas.openxmlformats.org/officeDocument/2006/relationships/hyperlink" Target="https://login.consultant.ru/link/?req=doc&amp;base=LAW&amp;n=347581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663&amp;dst=100016" TargetMode="External"/><Relationship Id="rId20" Type="http://schemas.openxmlformats.org/officeDocument/2006/relationships/hyperlink" Target="https://login.consultant.ru/link/?req=doc&amp;base=LAW&amp;n=493233&amp;dst=100176" TargetMode="External"/><Relationship Id="rId29" Type="http://schemas.openxmlformats.org/officeDocument/2006/relationships/hyperlink" Target="https://login.consultant.ru/link/?req=doc&amp;base=LAW&amp;n=325696&amp;dst=100014" TargetMode="External"/><Relationship Id="rId41" Type="http://schemas.openxmlformats.org/officeDocument/2006/relationships/hyperlink" Target="https://login.consultant.ru/link/?req=doc&amp;base=LAW&amp;n=325696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5696&amp;dst=100005" TargetMode="External"/><Relationship Id="rId11" Type="http://schemas.openxmlformats.org/officeDocument/2006/relationships/hyperlink" Target="https://login.consultant.ru/link/?req=doc&amp;base=LAW&amp;n=325696&amp;dst=100009" TargetMode="External"/><Relationship Id="rId24" Type="http://schemas.openxmlformats.org/officeDocument/2006/relationships/hyperlink" Target="https://login.consultant.ru/link/?req=doc&amp;base=LAW&amp;n=412663&amp;dst=100017" TargetMode="External"/><Relationship Id="rId32" Type="http://schemas.openxmlformats.org/officeDocument/2006/relationships/hyperlink" Target="https://login.consultant.ru/link/?req=doc&amp;base=LAW&amp;n=412663&amp;dst=100024" TargetMode="External"/><Relationship Id="rId37" Type="http://schemas.openxmlformats.org/officeDocument/2006/relationships/hyperlink" Target="https://login.consultant.ru/link/?req=doc&amp;base=LAW&amp;n=448483&amp;dst=100520" TargetMode="External"/><Relationship Id="rId40" Type="http://schemas.openxmlformats.org/officeDocument/2006/relationships/hyperlink" Target="https://login.consultant.ru/link/?req=doc&amp;base=LAW&amp;n=325696&amp;dst=100025" TargetMode="External"/><Relationship Id="rId45" Type="http://schemas.openxmlformats.org/officeDocument/2006/relationships/hyperlink" Target="https://login.consultant.ru/link/?req=doc&amp;base=LAW&amp;n=412663&amp;dst=10003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9002&amp;dst=100011" TargetMode="External"/><Relationship Id="rId15" Type="http://schemas.openxmlformats.org/officeDocument/2006/relationships/hyperlink" Target="https://login.consultant.ru/link/?req=doc&amp;base=LAW&amp;n=412663&amp;dst=100015" TargetMode="External"/><Relationship Id="rId23" Type="http://schemas.openxmlformats.org/officeDocument/2006/relationships/hyperlink" Target="https://login.consultant.ru/link/?req=doc&amp;base=LAW&amp;n=493233&amp;dst=563" TargetMode="External"/><Relationship Id="rId28" Type="http://schemas.openxmlformats.org/officeDocument/2006/relationships/hyperlink" Target="https://login.consultant.ru/link/?req=doc&amp;base=LAW&amp;n=412663&amp;dst=100021" TargetMode="External"/><Relationship Id="rId36" Type="http://schemas.openxmlformats.org/officeDocument/2006/relationships/hyperlink" Target="https://login.consultant.ru/link/?req=doc&amp;base=LAW&amp;n=412663&amp;dst=100027" TargetMode="External"/><Relationship Id="rId49" Type="http://schemas.openxmlformats.org/officeDocument/2006/relationships/hyperlink" Target="https://login.consultant.ru/link/?req=doc&amp;base=LAW&amp;n=412663&amp;dst=100034" TargetMode="External"/><Relationship Id="rId10" Type="http://schemas.openxmlformats.org/officeDocument/2006/relationships/hyperlink" Target="https://login.consultant.ru/link/?req=doc&amp;base=LAW&amp;n=412663&amp;dst=100010" TargetMode="External"/><Relationship Id="rId19" Type="http://schemas.openxmlformats.org/officeDocument/2006/relationships/hyperlink" Target="https://login.consultant.ru/link/?req=doc&amp;base=LAW&amp;n=325696&amp;dst=100010" TargetMode="External"/><Relationship Id="rId31" Type="http://schemas.openxmlformats.org/officeDocument/2006/relationships/hyperlink" Target="https://login.consultant.ru/link/?req=doc&amp;base=LAW&amp;n=325696&amp;dst=100022" TargetMode="External"/><Relationship Id="rId44" Type="http://schemas.openxmlformats.org/officeDocument/2006/relationships/hyperlink" Target="https://login.consultant.ru/link/?req=doc&amp;base=LAW&amp;n=347581&amp;dst=10000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233&amp;dst=101322" TargetMode="External"/><Relationship Id="rId14" Type="http://schemas.openxmlformats.org/officeDocument/2006/relationships/hyperlink" Target="https://login.consultant.ru/link/?req=doc&amp;base=LAW&amp;n=412663&amp;dst=100013" TargetMode="External"/><Relationship Id="rId22" Type="http://schemas.openxmlformats.org/officeDocument/2006/relationships/hyperlink" Target="https://login.consultant.ru/link/?req=doc&amp;base=LAW&amp;n=493233" TargetMode="External"/><Relationship Id="rId27" Type="http://schemas.openxmlformats.org/officeDocument/2006/relationships/hyperlink" Target="https://login.consultant.ru/link/?req=doc&amp;base=LAW&amp;n=412663&amp;dst=100020" TargetMode="External"/><Relationship Id="rId30" Type="http://schemas.openxmlformats.org/officeDocument/2006/relationships/hyperlink" Target="https://login.consultant.ru/link/?req=doc&amp;base=LAW&amp;n=412663&amp;dst=100022" TargetMode="External"/><Relationship Id="rId35" Type="http://schemas.openxmlformats.org/officeDocument/2006/relationships/hyperlink" Target="https://login.consultant.ru/link/?req=doc&amp;base=LAW&amp;n=325696&amp;dst=100023" TargetMode="External"/><Relationship Id="rId43" Type="http://schemas.openxmlformats.org/officeDocument/2006/relationships/hyperlink" Target="https://login.consultant.ru/link/?req=doc&amp;base=LAW&amp;n=325696&amp;dst=100030" TargetMode="External"/><Relationship Id="rId48" Type="http://schemas.openxmlformats.org/officeDocument/2006/relationships/hyperlink" Target="https://login.consultant.ru/link/?req=doc&amp;base=LAW&amp;n=325696&amp;dst=100030" TargetMode="External"/><Relationship Id="rId8" Type="http://schemas.openxmlformats.org/officeDocument/2006/relationships/hyperlink" Target="https://login.consultant.ru/link/?req=doc&amp;base=LAW&amp;n=412663&amp;dst=100005" TargetMode="External"/><Relationship Id="rId51" Type="http://schemas.openxmlformats.org/officeDocument/2006/relationships/hyperlink" Target="https://login.consultant.ru/link/?req=doc&amp;base=LAW&amp;n=412663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В. Пышкина</dc:creator>
  <cp:keywords/>
  <dc:description/>
  <cp:lastModifiedBy>Алена В. Пышкина</cp:lastModifiedBy>
  <cp:revision>2</cp:revision>
  <dcterms:created xsi:type="dcterms:W3CDTF">2024-12-20T06:19:00Z</dcterms:created>
  <dcterms:modified xsi:type="dcterms:W3CDTF">2024-12-20T06:19:00Z</dcterms:modified>
</cp:coreProperties>
</file>